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CDC35" w14:textId="77777777" w:rsidR="00FC5560" w:rsidRDefault="00FC5560">
      <w:pPr>
        <w:widowControl w:val="0"/>
        <w:pBdr>
          <w:top w:val="nil"/>
          <w:left w:val="nil"/>
          <w:bottom w:val="nil"/>
          <w:right w:val="nil"/>
          <w:between w:val="nil"/>
        </w:pBdr>
        <w:spacing w:after="0" w:line="276" w:lineRule="auto"/>
        <w:rPr>
          <w:rFonts w:ascii="Arial" w:eastAsia="Arial" w:hAnsi="Arial" w:cs="Arial"/>
          <w:color w:val="000000"/>
          <w:sz w:val="22"/>
          <w:szCs w:val="22"/>
        </w:rPr>
      </w:pPr>
    </w:p>
    <w:tbl>
      <w:tblPr>
        <w:tblStyle w:val="a"/>
        <w:tblpPr w:leftFromText="180" w:rightFromText="180" w:vertAnchor="page" w:horzAnchor="margin" w:tblpXSpec="center"/>
        <w:tblW w:w="10468" w:type="dxa"/>
        <w:tblLayout w:type="fixed"/>
        <w:tblLook w:val="0000" w:firstRow="0" w:lastRow="0" w:firstColumn="0" w:lastColumn="0" w:noHBand="0" w:noVBand="0"/>
      </w:tblPr>
      <w:tblGrid>
        <w:gridCol w:w="250"/>
        <w:gridCol w:w="10218"/>
      </w:tblGrid>
      <w:tr w:rsidR="00FC5560" w:rsidRPr="007917E6" w14:paraId="009555ED" w14:textId="77777777">
        <w:trPr>
          <w:cantSplit/>
          <w:trHeight w:val="1780"/>
        </w:trPr>
        <w:tc>
          <w:tcPr>
            <w:tcW w:w="241" w:type="dxa"/>
          </w:tcPr>
          <w:p w14:paraId="2328C87A" w14:textId="77777777" w:rsidR="00FC5560" w:rsidRDefault="00FC5560">
            <w:pPr>
              <w:tabs>
                <w:tab w:val="center" w:pos="4513"/>
                <w:tab w:val="right" w:pos="9026"/>
              </w:tabs>
              <w:spacing w:after="0" w:line="264" w:lineRule="auto"/>
              <w:jc w:val="center"/>
              <w:rPr>
                <w:color w:val="000000"/>
              </w:rPr>
            </w:pPr>
          </w:p>
        </w:tc>
        <w:tc>
          <w:tcPr>
            <w:tcW w:w="10227" w:type="dxa"/>
          </w:tcPr>
          <w:p w14:paraId="6E9FC762" w14:textId="77777777" w:rsidR="00FC5560" w:rsidRDefault="00BE1D67">
            <w:pPr>
              <w:spacing w:after="0" w:line="264" w:lineRule="auto"/>
              <w:rPr>
                <w:b/>
                <w:color w:val="000000"/>
              </w:rPr>
            </w:pPr>
            <w:r>
              <w:rPr>
                <w:noProof/>
              </w:rPr>
              <w:drawing>
                <wp:anchor distT="0" distB="0" distL="114300" distR="114300" simplePos="0" relativeHeight="251658240" behindDoc="0" locked="0" layoutInCell="1" hidden="0" allowOverlap="1" wp14:anchorId="53E92DFB" wp14:editId="3395DF16">
                  <wp:simplePos x="0" y="0"/>
                  <wp:positionH relativeFrom="column">
                    <wp:posOffset>-67944</wp:posOffset>
                  </wp:positionH>
                  <wp:positionV relativeFrom="paragraph">
                    <wp:posOffset>219710</wp:posOffset>
                  </wp:positionV>
                  <wp:extent cx="1217295" cy="1114425"/>
                  <wp:effectExtent l="0" t="0" r="0" b="0"/>
                  <wp:wrapSquare wrapText="bothSides" distT="0" distB="0" distL="114300" distR="114300"/>
                  <wp:docPr id="1" name="image1.png" descr="C:\Users\jc830652\OneDrive - James Cook University\Desktop\USB 18.03.2021\SHAPE\Website\new logo.png"/>
                  <wp:cNvGraphicFramePr/>
                  <a:graphic xmlns:a="http://schemas.openxmlformats.org/drawingml/2006/main">
                    <a:graphicData uri="http://schemas.openxmlformats.org/drawingml/2006/picture">
                      <pic:pic xmlns:pic="http://schemas.openxmlformats.org/drawingml/2006/picture">
                        <pic:nvPicPr>
                          <pic:cNvPr id="0" name="image1.png" descr="C:\Users\jc830652\OneDrive - James Cook University\Desktop\USB 18.03.2021\SHAPE\Website\new logo.png"/>
                          <pic:cNvPicPr preferRelativeResize="0"/>
                        </pic:nvPicPr>
                        <pic:blipFill>
                          <a:blip r:embed="rId7"/>
                          <a:srcRect/>
                          <a:stretch>
                            <a:fillRect/>
                          </a:stretch>
                        </pic:blipFill>
                        <pic:spPr>
                          <a:xfrm>
                            <a:off x="0" y="0"/>
                            <a:ext cx="1217295" cy="1114425"/>
                          </a:xfrm>
                          <a:prstGeom prst="rect">
                            <a:avLst/>
                          </a:prstGeom>
                          <a:ln/>
                        </pic:spPr>
                      </pic:pic>
                    </a:graphicData>
                  </a:graphic>
                </wp:anchor>
              </w:drawing>
            </w:r>
          </w:p>
          <w:p w14:paraId="02B0FD5B" w14:textId="77777777" w:rsidR="00FC5560" w:rsidRDefault="00FC5560">
            <w:pPr>
              <w:spacing w:after="0" w:line="264" w:lineRule="auto"/>
              <w:rPr>
                <w:b/>
                <w:color w:val="000000"/>
              </w:rPr>
            </w:pPr>
          </w:p>
          <w:p w14:paraId="5AF43E2F" w14:textId="77777777" w:rsidR="00FC5560" w:rsidRDefault="00BE1D67">
            <w:pPr>
              <w:spacing w:after="0" w:line="264" w:lineRule="auto"/>
              <w:rPr>
                <w:b/>
                <w:i/>
                <w:color w:val="000000"/>
              </w:rPr>
            </w:pPr>
            <w:r>
              <w:rPr>
                <w:b/>
                <w:color w:val="4F81BD"/>
                <w:sz w:val="28"/>
                <w:szCs w:val="28"/>
              </w:rPr>
              <w:t>SOCIETY FOR HEALTH ADMINISTRATION PROGRAMS IN EDUCATION</w:t>
            </w:r>
            <w:r>
              <w:rPr>
                <w:b/>
                <w:color w:val="000000"/>
              </w:rPr>
              <w:t xml:space="preserve"> </w:t>
            </w:r>
            <w:r>
              <w:rPr>
                <w:b/>
                <w:i/>
                <w:color w:val="000000"/>
              </w:rPr>
              <w:t xml:space="preserve">      </w:t>
            </w:r>
          </w:p>
          <w:p w14:paraId="67027EC5" w14:textId="77777777" w:rsidR="00FC5560" w:rsidRDefault="00BE1D67">
            <w:pPr>
              <w:spacing w:after="0" w:line="264" w:lineRule="auto"/>
              <w:rPr>
                <w:i/>
                <w:color w:val="000000"/>
              </w:rPr>
            </w:pPr>
            <w:r>
              <w:rPr>
                <w:i/>
                <w:color w:val="000000"/>
              </w:rPr>
              <w:t>Promoting Excellence in Health Service Management Education and Research</w:t>
            </w:r>
          </w:p>
          <w:p w14:paraId="65C63969" w14:textId="77777777" w:rsidR="00FC5560" w:rsidRPr="006B0C80" w:rsidRDefault="00BE1D67">
            <w:pPr>
              <w:spacing w:after="0" w:line="264" w:lineRule="auto"/>
              <w:rPr>
                <w:i/>
                <w:color w:val="000000"/>
                <w:lang w:val="de-DE"/>
              </w:rPr>
            </w:pPr>
            <w:r w:rsidRPr="006B0C80">
              <w:rPr>
                <w:color w:val="000000"/>
                <w:lang w:val="de-DE"/>
              </w:rPr>
              <w:t>ABN 74 793 022 315         Website: www.shape.org.au</w:t>
            </w:r>
          </w:p>
        </w:tc>
      </w:tr>
    </w:tbl>
    <w:p w14:paraId="7C0E2455" w14:textId="77777777" w:rsidR="00FC5560" w:rsidRDefault="00BE1D67">
      <w:pPr>
        <w:pBdr>
          <w:bottom w:val="single" w:sz="8" w:space="13" w:color="4F81BD"/>
        </w:pBdr>
        <w:spacing w:after="0" w:line="264" w:lineRule="auto"/>
        <w:jc w:val="center"/>
        <w:rPr>
          <w:b/>
          <w:color w:val="5A2781"/>
          <w:sz w:val="36"/>
          <w:szCs w:val="36"/>
        </w:rPr>
      </w:pPr>
      <w:r>
        <w:rPr>
          <w:b/>
          <w:color w:val="5A2781"/>
          <w:sz w:val="36"/>
          <w:szCs w:val="36"/>
        </w:rPr>
        <w:t>SHAPE INTERNATIONAL SYMPOSIUM</w:t>
      </w:r>
    </w:p>
    <w:p w14:paraId="4594DCC5" w14:textId="1AE1F178" w:rsidR="00FC5560" w:rsidRDefault="00BE1D67">
      <w:pPr>
        <w:pBdr>
          <w:bottom w:val="single" w:sz="8" w:space="13" w:color="4F81BD"/>
        </w:pBdr>
        <w:spacing w:after="240" w:line="264" w:lineRule="auto"/>
        <w:jc w:val="center"/>
        <w:rPr>
          <w:color w:val="5A2781"/>
          <w:sz w:val="28"/>
          <w:szCs w:val="28"/>
        </w:rPr>
      </w:pPr>
      <w:r>
        <w:rPr>
          <w:color w:val="5A2781"/>
          <w:sz w:val="28"/>
          <w:szCs w:val="28"/>
        </w:rPr>
        <w:t xml:space="preserve">Monday </w:t>
      </w:r>
      <w:r w:rsidR="00BF5034">
        <w:rPr>
          <w:color w:val="5A2781"/>
          <w:sz w:val="28"/>
          <w:szCs w:val="28"/>
        </w:rPr>
        <w:t>29</w:t>
      </w:r>
      <w:r w:rsidR="00BF5034" w:rsidRPr="00BF5034">
        <w:rPr>
          <w:color w:val="5A2781"/>
          <w:sz w:val="28"/>
          <w:szCs w:val="28"/>
          <w:vertAlign w:val="superscript"/>
        </w:rPr>
        <w:t>th</w:t>
      </w:r>
      <w:r>
        <w:rPr>
          <w:color w:val="5A2781"/>
          <w:sz w:val="28"/>
          <w:szCs w:val="28"/>
        </w:rPr>
        <w:t xml:space="preserve"> June – Wednesday </w:t>
      </w:r>
      <w:r w:rsidR="00BF5034">
        <w:rPr>
          <w:color w:val="5A2781"/>
          <w:sz w:val="28"/>
          <w:szCs w:val="28"/>
        </w:rPr>
        <w:t>1</w:t>
      </w:r>
      <w:r w:rsidR="00BF5034" w:rsidRPr="00BF5034">
        <w:rPr>
          <w:color w:val="5A2781"/>
          <w:sz w:val="28"/>
          <w:szCs w:val="28"/>
          <w:vertAlign w:val="superscript"/>
        </w:rPr>
        <w:t>st</w:t>
      </w:r>
      <w:r w:rsidR="00BF5034">
        <w:rPr>
          <w:color w:val="5A2781"/>
          <w:sz w:val="28"/>
          <w:szCs w:val="28"/>
        </w:rPr>
        <w:t xml:space="preserve"> </w:t>
      </w:r>
      <w:r>
        <w:rPr>
          <w:color w:val="5A2781"/>
          <w:sz w:val="28"/>
          <w:szCs w:val="28"/>
        </w:rPr>
        <w:t>July 202</w:t>
      </w:r>
      <w:r w:rsidR="00BF5034">
        <w:rPr>
          <w:color w:val="5A2781"/>
          <w:sz w:val="28"/>
          <w:szCs w:val="28"/>
        </w:rPr>
        <w:t>6</w:t>
      </w:r>
    </w:p>
    <w:p w14:paraId="7AE65BBD" w14:textId="6D203E51" w:rsidR="00FC5560" w:rsidRDefault="00200C2A">
      <w:pPr>
        <w:pBdr>
          <w:bottom w:val="single" w:sz="8" w:space="13" w:color="4F81BD"/>
        </w:pBdr>
        <w:spacing w:after="0" w:line="264" w:lineRule="auto"/>
        <w:jc w:val="center"/>
        <w:rPr>
          <w:b/>
          <w:i/>
          <w:color w:val="5A2781"/>
          <w:sz w:val="28"/>
          <w:szCs w:val="28"/>
        </w:rPr>
      </w:pPr>
      <w:proofErr w:type="spellStart"/>
      <w:r>
        <w:rPr>
          <w:b/>
          <w:i/>
          <w:color w:val="5A2781"/>
          <w:sz w:val="28"/>
          <w:szCs w:val="28"/>
        </w:rPr>
        <w:t>Energising</w:t>
      </w:r>
      <w:proofErr w:type="spellEnd"/>
      <w:r>
        <w:rPr>
          <w:b/>
          <w:i/>
          <w:color w:val="5A2781"/>
          <w:sz w:val="28"/>
          <w:szCs w:val="28"/>
        </w:rPr>
        <w:t xml:space="preserve"> health management practice, education and research</w:t>
      </w:r>
      <w:r w:rsidR="00BE1D67">
        <w:rPr>
          <w:b/>
          <w:i/>
          <w:color w:val="5A2781"/>
          <w:sz w:val="28"/>
          <w:szCs w:val="28"/>
        </w:rPr>
        <w:t xml:space="preserve"> </w:t>
      </w:r>
      <w:r w:rsidR="00885166">
        <w:rPr>
          <w:b/>
          <w:i/>
          <w:color w:val="5A2781"/>
          <w:sz w:val="28"/>
          <w:szCs w:val="28"/>
        </w:rPr>
        <w:t xml:space="preserve">                             </w:t>
      </w:r>
    </w:p>
    <w:p w14:paraId="725A4A42" w14:textId="49A6C0AD" w:rsidR="00FC5560" w:rsidRDefault="00BE1D67">
      <w:pPr>
        <w:spacing w:before="120" w:after="120" w:line="264" w:lineRule="auto"/>
        <w:jc w:val="center"/>
        <w:rPr>
          <w:b/>
          <w:color w:val="5A2781"/>
        </w:rPr>
      </w:pPr>
      <w:r>
        <w:rPr>
          <w:b/>
          <w:color w:val="5A2781"/>
        </w:rPr>
        <w:t>Hosted by the SHAPE Executive</w:t>
      </w:r>
      <w:r w:rsidR="008951BF">
        <w:rPr>
          <w:b/>
          <w:color w:val="5A2781"/>
        </w:rPr>
        <w:t>s</w:t>
      </w:r>
      <w:r>
        <w:rPr>
          <w:b/>
          <w:color w:val="5A2781"/>
        </w:rPr>
        <w:t xml:space="preserve"> in Hybrid Mode at the </w:t>
      </w:r>
      <w:r w:rsidR="008951BF">
        <w:rPr>
          <w:b/>
          <w:color w:val="5A2781"/>
        </w:rPr>
        <w:t>Melbourne</w:t>
      </w:r>
      <w:r>
        <w:rPr>
          <w:b/>
          <w:color w:val="5A2781"/>
        </w:rPr>
        <w:t xml:space="preserve"> Campus, </w:t>
      </w:r>
      <w:r w:rsidR="008951BF">
        <w:rPr>
          <w:b/>
          <w:color w:val="5A2781"/>
        </w:rPr>
        <w:t xml:space="preserve">La </w:t>
      </w:r>
      <w:proofErr w:type="gramStart"/>
      <w:r w:rsidR="008951BF">
        <w:rPr>
          <w:b/>
          <w:color w:val="5A2781"/>
        </w:rPr>
        <w:t xml:space="preserve">Trobe </w:t>
      </w:r>
      <w:r>
        <w:rPr>
          <w:b/>
          <w:color w:val="5A2781"/>
        </w:rPr>
        <w:t xml:space="preserve"> University</w:t>
      </w:r>
      <w:proofErr w:type="gramEnd"/>
      <w:r>
        <w:rPr>
          <w:b/>
          <w:color w:val="5A2781"/>
        </w:rPr>
        <w:t xml:space="preserve"> and via Zoom</w:t>
      </w:r>
    </w:p>
    <w:p w14:paraId="0CDFB5B3" w14:textId="77777777" w:rsidR="00FC5560" w:rsidRDefault="00BE1D67">
      <w:pPr>
        <w:shd w:val="clear" w:color="auto" w:fill="5A2781"/>
        <w:spacing w:before="240" w:after="120" w:line="264" w:lineRule="auto"/>
        <w:jc w:val="center"/>
        <w:rPr>
          <w:color w:val="FFFFFF"/>
          <w:sz w:val="36"/>
          <w:szCs w:val="36"/>
        </w:rPr>
      </w:pPr>
      <w:r>
        <w:rPr>
          <w:b/>
          <w:color w:val="FFFFFF"/>
          <w:sz w:val="36"/>
          <w:szCs w:val="36"/>
        </w:rPr>
        <w:t xml:space="preserve">Symposium Program Information </w:t>
      </w:r>
    </w:p>
    <w:p w14:paraId="7D4A40E8" w14:textId="796D14C9" w:rsidR="00FC5560" w:rsidRDefault="00BE1D67">
      <w:pPr>
        <w:tabs>
          <w:tab w:val="left" w:pos="2863"/>
        </w:tabs>
        <w:spacing w:after="120" w:line="264" w:lineRule="auto"/>
        <w:jc w:val="both"/>
        <w:rPr>
          <w:color w:val="323E4F"/>
        </w:rPr>
      </w:pPr>
      <w:r>
        <w:rPr>
          <w:color w:val="323E4F"/>
        </w:rPr>
        <w:t xml:space="preserve">The program will run over three days in hybrid mode at the </w:t>
      </w:r>
      <w:r w:rsidR="00A543C9">
        <w:rPr>
          <w:color w:val="323E4F"/>
        </w:rPr>
        <w:t xml:space="preserve">La </w:t>
      </w:r>
      <w:proofErr w:type="gramStart"/>
      <w:r w:rsidR="00A543C9">
        <w:rPr>
          <w:color w:val="323E4F"/>
        </w:rPr>
        <w:t xml:space="preserve">Trobe </w:t>
      </w:r>
      <w:r>
        <w:rPr>
          <w:color w:val="323E4F"/>
        </w:rPr>
        <w:t xml:space="preserve"> University</w:t>
      </w:r>
      <w:proofErr w:type="gramEnd"/>
      <w:r>
        <w:rPr>
          <w:color w:val="323E4F"/>
        </w:rPr>
        <w:t xml:space="preserve"> </w:t>
      </w:r>
      <w:r w:rsidR="00A543C9">
        <w:rPr>
          <w:color w:val="323E4F"/>
        </w:rPr>
        <w:t>Melbourne</w:t>
      </w:r>
      <w:r>
        <w:rPr>
          <w:color w:val="323E4F"/>
        </w:rPr>
        <w:t xml:space="preserve"> Campus and online via Zoom. Keynote and panel speakers will include leading voices from across the globe in healthcare leadership and management at both system and service levels. The program includes keynote addresses, an interactive panel session, group discussions, and 15-minute presentations. Delegates are healthcare leaders, managers, academics and educators in all areas of health services, focusing on Australasia and Asia Pacific countries. Managers, practitioners and postgraduate students are highly encouraged to attend.</w:t>
      </w:r>
    </w:p>
    <w:p w14:paraId="24A8FCEB" w14:textId="68F0C260" w:rsidR="00FC5560" w:rsidRDefault="00BE1D67">
      <w:pPr>
        <w:spacing w:before="120" w:after="60" w:line="264" w:lineRule="auto"/>
        <w:jc w:val="both"/>
        <w:rPr>
          <w:color w:val="000000"/>
        </w:rPr>
      </w:pPr>
      <w:r>
        <w:rPr>
          <w:b/>
          <w:color w:val="5A2781"/>
        </w:rPr>
        <w:t xml:space="preserve">Monday June </w:t>
      </w:r>
      <w:r w:rsidR="00A543C9">
        <w:rPr>
          <w:b/>
          <w:color w:val="5A2781"/>
        </w:rPr>
        <w:t>29</w:t>
      </w:r>
      <w:r w:rsidR="00A543C9" w:rsidRPr="00A543C9">
        <w:rPr>
          <w:b/>
          <w:color w:val="5A2781"/>
          <w:vertAlign w:val="superscript"/>
        </w:rPr>
        <w:t>th</w:t>
      </w:r>
      <w:r>
        <w:rPr>
          <w:b/>
          <w:color w:val="5A2781"/>
        </w:rPr>
        <w:t xml:space="preserve"> – </w:t>
      </w:r>
      <w:r w:rsidRPr="00A16F5A">
        <w:rPr>
          <w:bCs/>
          <w:color w:val="auto"/>
        </w:rPr>
        <w:t>This day will</w:t>
      </w:r>
      <w:r w:rsidRPr="00A16F5A">
        <w:rPr>
          <w:b/>
          <w:color w:val="auto"/>
        </w:rPr>
        <w:t xml:space="preserve"> </w:t>
      </w:r>
      <w:r w:rsidRPr="00885166">
        <w:rPr>
          <w:color w:val="000000"/>
        </w:rPr>
        <w:t>focus on health service management education and research in conjunction with SHAPE program member meetings and the SHAPE AGM. There will be a session specifically for higher degree research</w:t>
      </w:r>
      <w:r w:rsidR="00885166" w:rsidRPr="00885166">
        <w:rPr>
          <w:color w:val="000000"/>
        </w:rPr>
        <w:t xml:space="preserve">, </w:t>
      </w:r>
      <w:r w:rsidRPr="00885166">
        <w:rPr>
          <w:color w:val="000000"/>
        </w:rPr>
        <w:t xml:space="preserve">postgraduate </w:t>
      </w:r>
      <w:r w:rsidR="00885166" w:rsidRPr="00885166">
        <w:rPr>
          <w:color w:val="000000"/>
        </w:rPr>
        <w:t xml:space="preserve">and undergraduate </w:t>
      </w:r>
      <w:r w:rsidRPr="00885166">
        <w:rPr>
          <w:color w:val="000000"/>
        </w:rPr>
        <w:t>students giving short presentations, receiving academic feedback, discussion and learning from each other.</w:t>
      </w:r>
    </w:p>
    <w:p w14:paraId="01FB87EF" w14:textId="22AFE383" w:rsidR="00FC5560" w:rsidRDefault="00BE1D67">
      <w:pPr>
        <w:spacing w:before="120" w:after="0" w:line="264" w:lineRule="auto"/>
        <w:jc w:val="both"/>
        <w:rPr>
          <w:color w:val="000000"/>
        </w:rPr>
      </w:pPr>
      <w:r>
        <w:rPr>
          <w:b/>
          <w:color w:val="5A2781"/>
        </w:rPr>
        <w:t>Tuesday J</w:t>
      </w:r>
      <w:r w:rsidR="00A543C9">
        <w:rPr>
          <w:b/>
          <w:color w:val="5A2781"/>
        </w:rPr>
        <w:t>une 30</w:t>
      </w:r>
      <w:r w:rsidR="00A543C9" w:rsidRPr="00A543C9">
        <w:rPr>
          <w:b/>
          <w:color w:val="5A2781"/>
          <w:vertAlign w:val="superscript"/>
        </w:rPr>
        <w:t>th</w:t>
      </w:r>
      <w:r w:rsidR="00A543C9">
        <w:rPr>
          <w:b/>
          <w:color w:val="5A2781"/>
        </w:rPr>
        <w:t xml:space="preserve"> </w:t>
      </w:r>
      <w:r>
        <w:rPr>
          <w:b/>
          <w:color w:val="5A2781"/>
        </w:rPr>
        <w:t xml:space="preserve">and Wednesday July </w:t>
      </w:r>
      <w:r w:rsidR="00A543C9">
        <w:rPr>
          <w:b/>
          <w:color w:val="5A2781"/>
        </w:rPr>
        <w:t>1</w:t>
      </w:r>
      <w:r w:rsidR="00A543C9" w:rsidRPr="00A543C9">
        <w:rPr>
          <w:b/>
          <w:color w:val="5A2781"/>
          <w:vertAlign w:val="superscript"/>
        </w:rPr>
        <w:t>st</w:t>
      </w:r>
      <w:r>
        <w:rPr>
          <w:color w:val="000000"/>
        </w:rPr>
        <w:t xml:space="preserve"> – These days will focus on the four themes detailed below. </w:t>
      </w:r>
    </w:p>
    <w:p w14:paraId="299A9705" w14:textId="77777777" w:rsidR="00FC5560" w:rsidRDefault="00BE1D67">
      <w:pPr>
        <w:shd w:val="clear" w:color="auto" w:fill="5A2781"/>
        <w:spacing w:before="240" w:after="120" w:line="264" w:lineRule="auto"/>
        <w:jc w:val="center"/>
        <w:rPr>
          <w:color w:val="FFFFFF"/>
          <w:sz w:val="36"/>
          <w:szCs w:val="36"/>
        </w:rPr>
      </w:pPr>
      <w:bookmarkStart w:id="0" w:name="_gjdgxs" w:colFirst="0" w:colLast="0"/>
      <w:bookmarkEnd w:id="0"/>
      <w:r>
        <w:rPr>
          <w:b/>
          <w:color w:val="FFFFFF"/>
          <w:sz w:val="36"/>
          <w:szCs w:val="36"/>
        </w:rPr>
        <w:t xml:space="preserve">Call for abstracts is now open </w:t>
      </w:r>
    </w:p>
    <w:p w14:paraId="2AA06154" w14:textId="3724EDF3" w:rsidR="00FC5560" w:rsidRPr="00885166" w:rsidRDefault="00BE1D67">
      <w:pPr>
        <w:tabs>
          <w:tab w:val="left" w:pos="2863"/>
        </w:tabs>
        <w:spacing w:after="120" w:line="264" w:lineRule="auto"/>
        <w:jc w:val="both"/>
        <w:rPr>
          <w:color w:val="000000"/>
        </w:rPr>
      </w:pPr>
      <w:r>
        <w:rPr>
          <w:color w:val="000000"/>
        </w:rPr>
        <w:t>We are now inviting abstracts for presentations at the SHAPE International Symposium 202</w:t>
      </w:r>
      <w:r w:rsidR="000A1A99">
        <w:rPr>
          <w:color w:val="000000"/>
        </w:rPr>
        <w:t>6</w:t>
      </w:r>
      <w:r>
        <w:rPr>
          <w:color w:val="000000"/>
        </w:rPr>
        <w:t xml:space="preserve"> in person or online. Presentations are encouraged from a broad range of topics associated with the four themes below that contribute to a deeper understanding of the challenges facing health service </w:t>
      </w:r>
      <w:r w:rsidRPr="00885166">
        <w:rPr>
          <w:color w:val="000000"/>
        </w:rPr>
        <w:t xml:space="preserve">leadership and management, education, development, workforce training and research. Collectively these encompass the central interests of SHAPE members and colleagues. Presentations must clearly demonstrate their relevance and linkage to health service management education and research. </w:t>
      </w:r>
    </w:p>
    <w:tbl>
      <w:tblPr>
        <w:tblStyle w:val="a0"/>
        <w:tblW w:w="9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
        <w:gridCol w:w="8721"/>
      </w:tblGrid>
      <w:tr w:rsidR="00FC5560" w:rsidRPr="00885166" w14:paraId="7872EB00" w14:textId="77777777">
        <w:tc>
          <w:tcPr>
            <w:tcW w:w="901" w:type="dxa"/>
            <w:vAlign w:val="center"/>
          </w:tcPr>
          <w:p w14:paraId="65C29B12" w14:textId="77777777" w:rsidR="00FC5560" w:rsidRPr="00885166" w:rsidRDefault="00BE1D67">
            <w:pPr>
              <w:tabs>
                <w:tab w:val="left" w:pos="2863"/>
              </w:tabs>
              <w:spacing w:before="60" w:after="60" w:line="240" w:lineRule="auto"/>
              <w:jc w:val="center"/>
              <w:rPr>
                <w:b/>
                <w:color w:val="5A2781"/>
              </w:rPr>
            </w:pPr>
            <w:r w:rsidRPr="00885166">
              <w:rPr>
                <w:b/>
                <w:color w:val="5A2781"/>
              </w:rPr>
              <w:t>Theme</w:t>
            </w:r>
          </w:p>
        </w:tc>
        <w:tc>
          <w:tcPr>
            <w:tcW w:w="8721" w:type="dxa"/>
          </w:tcPr>
          <w:p w14:paraId="75C3ED48" w14:textId="77777777" w:rsidR="00FC5560" w:rsidRPr="00885166" w:rsidRDefault="00BE1D67">
            <w:pPr>
              <w:tabs>
                <w:tab w:val="left" w:pos="2863"/>
              </w:tabs>
              <w:spacing w:before="60" w:after="60" w:line="240" w:lineRule="auto"/>
              <w:jc w:val="center"/>
              <w:rPr>
                <w:b/>
                <w:color w:val="5A2781"/>
              </w:rPr>
            </w:pPr>
            <w:r w:rsidRPr="00885166">
              <w:rPr>
                <w:b/>
                <w:color w:val="5A2781"/>
              </w:rPr>
              <w:t xml:space="preserve">Focus </w:t>
            </w:r>
          </w:p>
        </w:tc>
      </w:tr>
      <w:tr w:rsidR="00FC5560" w:rsidRPr="00885166" w14:paraId="6590CAEA" w14:textId="77777777">
        <w:tc>
          <w:tcPr>
            <w:tcW w:w="901" w:type="dxa"/>
            <w:vAlign w:val="center"/>
          </w:tcPr>
          <w:p w14:paraId="6BAE44FA" w14:textId="77777777" w:rsidR="00FC5560" w:rsidRPr="00885166" w:rsidRDefault="00BE1D67" w:rsidP="00AD6918">
            <w:pPr>
              <w:tabs>
                <w:tab w:val="left" w:pos="2863"/>
              </w:tabs>
              <w:spacing w:before="60" w:after="60" w:line="240" w:lineRule="auto"/>
              <w:jc w:val="center"/>
              <w:rPr>
                <w:color w:val="323E4F"/>
              </w:rPr>
            </w:pPr>
            <w:r w:rsidRPr="00885166">
              <w:rPr>
                <w:color w:val="323E4F"/>
              </w:rPr>
              <w:t>One</w:t>
            </w:r>
          </w:p>
        </w:tc>
        <w:tc>
          <w:tcPr>
            <w:tcW w:w="8721" w:type="dxa"/>
          </w:tcPr>
          <w:p w14:paraId="17990CE7" w14:textId="38856135" w:rsidR="00FC5560" w:rsidRPr="00200C2A" w:rsidRDefault="00200C2A">
            <w:pPr>
              <w:tabs>
                <w:tab w:val="left" w:pos="2863"/>
              </w:tabs>
              <w:spacing w:before="60" w:after="60" w:line="240" w:lineRule="auto"/>
              <w:jc w:val="both"/>
              <w:rPr>
                <w:rFonts w:ascii="Museo Sans" w:hAnsi="Museo Sans"/>
                <w:color w:val="666666"/>
                <w:sz w:val="28"/>
                <w:szCs w:val="28"/>
              </w:rPr>
            </w:pPr>
            <w:r w:rsidRPr="00200C2A">
              <w:rPr>
                <w:color w:val="323E4F"/>
              </w:rPr>
              <w:t xml:space="preserve">Moving </w:t>
            </w:r>
            <w:r>
              <w:rPr>
                <w:color w:val="323E4F"/>
              </w:rPr>
              <w:t>from the classroom to practice</w:t>
            </w:r>
            <w:r w:rsidRPr="00200C2A">
              <w:rPr>
                <w:color w:val="323E4F"/>
              </w:rPr>
              <w:t>: what academics and practitioners can learn from each other</w:t>
            </w:r>
          </w:p>
        </w:tc>
      </w:tr>
      <w:tr w:rsidR="00FC5560" w:rsidRPr="00885166" w14:paraId="1329F68A" w14:textId="77777777">
        <w:tc>
          <w:tcPr>
            <w:tcW w:w="901" w:type="dxa"/>
            <w:vAlign w:val="center"/>
          </w:tcPr>
          <w:p w14:paraId="7EC55A68" w14:textId="7851DEEE" w:rsidR="00FC5560" w:rsidRPr="00885166" w:rsidRDefault="00BE1D67" w:rsidP="00AD6918">
            <w:pPr>
              <w:tabs>
                <w:tab w:val="left" w:pos="2863"/>
              </w:tabs>
              <w:spacing w:before="60" w:after="60" w:line="240" w:lineRule="auto"/>
              <w:jc w:val="center"/>
              <w:rPr>
                <w:color w:val="323E4F"/>
              </w:rPr>
            </w:pPr>
            <w:r w:rsidRPr="00885166">
              <w:rPr>
                <w:color w:val="323E4F"/>
              </w:rPr>
              <w:t>Two</w:t>
            </w:r>
          </w:p>
        </w:tc>
        <w:tc>
          <w:tcPr>
            <w:tcW w:w="8721" w:type="dxa"/>
          </w:tcPr>
          <w:p w14:paraId="742A3B18" w14:textId="651437C2" w:rsidR="00FC5560" w:rsidRPr="00885166" w:rsidRDefault="00BE1D67">
            <w:pPr>
              <w:tabs>
                <w:tab w:val="left" w:pos="2863"/>
              </w:tabs>
              <w:spacing w:before="60" w:after="60" w:line="240" w:lineRule="auto"/>
              <w:jc w:val="both"/>
              <w:rPr>
                <w:color w:val="323E4F"/>
              </w:rPr>
            </w:pPr>
            <w:r w:rsidRPr="00885166">
              <w:rPr>
                <w:color w:val="323E4F"/>
              </w:rPr>
              <w:t xml:space="preserve">Artificial intelligence in health: </w:t>
            </w:r>
            <w:r w:rsidR="00200C2A">
              <w:rPr>
                <w:color w:val="323E4F"/>
              </w:rPr>
              <w:t>current thinking, debates and strategies for educators</w:t>
            </w:r>
            <w:r w:rsidR="002C4832">
              <w:rPr>
                <w:color w:val="323E4F"/>
              </w:rPr>
              <w:t>, researchers</w:t>
            </w:r>
            <w:r w:rsidR="00200C2A">
              <w:rPr>
                <w:color w:val="323E4F"/>
              </w:rPr>
              <w:t xml:space="preserve"> and practitioners</w:t>
            </w:r>
          </w:p>
        </w:tc>
      </w:tr>
      <w:tr w:rsidR="00FC5560" w:rsidRPr="00885166" w14:paraId="14D17E10" w14:textId="77777777">
        <w:tc>
          <w:tcPr>
            <w:tcW w:w="901" w:type="dxa"/>
            <w:vAlign w:val="center"/>
          </w:tcPr>
          <w:p w14:paraId="4BE3D87C" w14:textId="77777777" w:rsidR="00FC5560" w:rsidRPr="00885166" w:rsidRDefault="00BE1D67">
            <w:pPr>
              <w:tabs>
                <w:tab w:val="left" w:pos="2863"/>
              </w:tabs>
              <w:spacing w:before="60" w:after="60" w:line="240" w:lineRule="auto"/>
              <w:jc w:val="center"/>
              <w:rPr>
                <w:color w:val="323E4F"/>
              </w:rPr>
            </w:pPr>
            <w:r w:rsidRPr="00885166">
              <w:rPr>
                <w:color w:val="323E4F"/>
              </w:rPr>
              <w:t>Three</w:t>
            </w:r>
          </w:p>
        </w:tc>
        <w:tc>
          <w:tcPr>
            <w:tcW w:w="8721" w:type="dxa"/>
          </w:tcPr>
          <w:p w14:paraId="7EF4EA67" w14:textId="210B517E" w:rsidR="00FC5560" w:rsidRPr="00885166" w:rsidRDefault="00200C2A">
            <w:pPr>
              <w:tabs>
                <w:tab w:val="left" w:pos="2863"/>
              </w:tabs>
              <w:spacing w:before="60" w:after="60" w:line="240" w:lineRule="auto"/>
              <w:jc w:val="both"/>
              <w:rPr>
                <w:color w:val="323E4F"/>
              </w:rPr>
            </w:pPr>
            <w:r>
              <w:rPr>
                <w:color w:val="323E4F"/>
              </w:rPr>
              <w:t xml:space="preserve">Social care and its impact: the challenges aged care, NDIS and other social care </w:t>
            </w:r>
            <w:r w:rsidR="002C4832">
              <w:rPr>
                <w:color w:val="323E4F"/>
              </w:rPr>
              <w:t>developments</w:t>
            </w:r>
            <w:r>
              <w:rPr>
                <w:color w:val="323E4F"/>
              </w:rPr>
              <w:t xml:space="preserve"> present for educators, researchers and practitioners</w:t>
            </w:r>
          </w:p>
        </w:tc>
      </w:tr>
      <w:tr w:rsidR="00357C16" w14:paraId="7A3C4A7E" w14:textId="77777777" w:rsidTr="006B6859">
        <w:trPr>
          <w:trHeight w:val="444"/>
        </w:trPr>
        <w:tc>
          <w:tcPr>
            <w:tcW w:w="901" w:type="dxa"/>
            <w:vAlign w:val="center"/>
          </w:tcPr>
          <w:p w14:paraId="77B2120B" w14:textId="77777777" w:rsidR="00357C16" w:rsidRPr="00885166" w:rsidRDefault="00357C16" w:rsidP="006B6859">
            <w:pPr>
              <w:tabs>
                <w:tab w:val="left" w:pos="2863"/>
              </w:tabs>
              <w:spacing w:before="60" w:after="60" w:line="240" w:lineRule="auto"/>
              <w:jc w:val="center"/>
              <w:rPr>
                <w:color w:val="000000" w:themeColor="text1"/>
              </w:rPr>
            </w:pPr>
            <w:r w:rsidRPr="00885166">
              <w:rPr>
                <w:color w:val="000000" w:themeColor="text1"/>
              </w:rPr>
              <w:lastRenderedPageBreak/>
              <w:t>Four</w:t>
            </w:r>
          </w:p>
        </w:tc>
        <w:tc>
          <w:tcPr>
            <w:tcW w:w="8721" w:type="dxa"/>
          </w:tcPr>
          <w:p w14:paraId="056B2377" w14:textId="77777777" w:rsidR="00357C16" w:rsidRPr="00885166" w:rsidRDefault="00357C16" w:rsidP="006B6859">
            <w:pPr>
              <w:tabs>
                <w:tab w:val="left" w:pos="2863"/>
              </w:tabs>
              <w:spacing w:before="60" w:after="60" w:line="240" w:lineRule="auto"/>
              <w:jc w:val="both"/>
              <w:rPr>
                <w:color w:val="000000" w:themeColor="text1"/>
              </w:rPr>
            </w:pPr>
            <w:r>
              <w:rPr>
                <w:color w:val="000000" w:themeColor="text1"/>
              </w:rPr>
              <w:t xml:space="preserve">Innovations and new ideas: including </w:t>
            </w:r>
            <w:proofErr w:type="spellStart"/>
            <w:r>
              <w:rPr>
                <w:color w:val="000000" w:themeColor="text1"/>
              </w:rPr>
              <w:t>comissioning</w:t>
            </w:r>
            <w:proofErr w:type="spellEnd"/>
            <w:r>
              <w:rPr>
                <w:color w:val="000000" w:themeColor="text1"/>
              </w:rPr>
              <w:t xml:space="preserve"> health services for the community and the role of educators in building agility, capacity and sustainability</w:t>
            </w:r>
          </w:p>
        </w:tc>
      </w:tr>
      <w:tr w:rsidR="00357C16" w14:paraId="444690AE" w14:textId="77777777" w:rsidTr="006F3ACE">
        <w:trPr>
          <w:trHeight w:val="444"/>
        </w:trPr>
        <w:tc>
          <w:tcPr>
            <w:tcW w:w="9622" w:type="dxa"/>
            <w:gridSpan w:val="2"/>
            <w:vAlign w:val="center"/>
          </w:tcPr>
          <w:p w14:paraId="7C542CC6" w14:textId="666C83F0" w:rsidR="00357C16" w:rsidRDefault="00357C16">
            <w:pPr>
              <w:tabs>
                <w:tab w:val="left" w:pos="2863"/>
              </w:tabs>
              <w:spacing w:before="60" w:after="60" w:line="240" w:lineRule="auto"/>
              <w:jc w:val="both"/>
              <w:rPr>
                <w:color w:val="000000" w:themeColor="text1"/>
              </w:rPr>
            </w:pPr>
            <w:r>
              <w:rPr>
                <w:color w:val="000000" w:themeColor="text1"/>
              </w:rPr>
              <w:t xml:space="preserve">Irrespective of the topic all presentations are expected to </w:t>
            </w:r>
            <w:r w:rsidRPr="00622AC6">
              <w:rPr>
                <w:color w:val="000000" w:themeColor="text1"/>
              </w:rPr>
              <w:t>make explicit links to the interests of and implications for health management educators, researchers and practitioners.</w:t>
            </w:r>
          </w:p>
        </w:tc>
      </w:tr>
    </w:tbl>
    <w:p w14:paraId="1F0101F7" w14:textId="4DF62F42" w:rsidR="00FC5560" w:rsidRDefault="00BE1D67">
      <w:pPr>
        <w:shd w:val="clear" w:color="auto" w:fill="5A2781"/>
        <w:spacing w:before="240" w:after="120" w:line="264" w:lineRule="auto"/>
        <w:jc w:val="center"/>
        <w:rPr>
          <w:color w:val="FFFFFF"/>
          <w:sz w:val="36"/>
          <w:szCs w:val="36"/>
        </w:rPr>
      </w:pPr>
      <w:r>
        <w:rPr>
          <w:b/>
          <w:color w:val="FFFFFF"/>
          <w:sz w:val="36"/>
          <w:szCs w:val="36"/>
        </w:rPr>
        <w:t xml:space="preserve">Deadline for abstract submission: 5pm </w:t>
      </w:r>
      <w:r>
        <w:rPr>
          <w:b/>
          <w:color w:val="FFFFFF"/>
        </w:rPr>
        <w:t>(AEST),</w:t>
      </w:r>
      <w:r>
        <w:rPr>
          <w:b/>
          <w:color w:val="FFFFFF"/>
          <w:sz w:val="36"/>
          <w:szCs w:val="36"/>
        </w:rPr>
        <w:t xml:space="preserve"> </w:t>
      </w:r>
      <w:r w:rsidR="000E64A9">
        <w:rPr>
          <w:b/>
          <w:color w:val="FFFFFF"/>
          <w:sz w:val="36"/>
          <w:szCs w:val="36"/>
        </w:rPr>
        <w:t>9</w:t>
      </w:r>
      <w:r w:rsidR="0047286D">
        <w:rPr>
          <w:b/>
          <w:color w:val="FFFFFF"/>
          <w:sz w:val="36"/>
          <w:szCs w:val="36"/>
        </w:rPr>
        <w:t xml:space="preserve"> </w:t>
      </w:r>
      <w:r>
        <w:rPr>
          <w:b/>
          <w:color w:val="FFFFFF"/>
          <w:sz w:val="36"/>
          <w:szCs w:val="36"/>
        </w:rPr>
        <w:t>February 202</w:t>
      </w:r>
      <w:r w:rsidR="0047286D">
        <w:rPr>
          <w:b/>
          <w:color w:val="FFFFFF"/>
          <w:sz w:val="36"/>
          <w:szCs w:val="36"/>
        </w:rPr>
        <w:t>6</w:t>
      </w:r>
    </w:p>
    <w:p w14:paraId="568BFD64" w14:textId="651E68A7" w:rsidR="00897907" w:rsidRPr="00897907" w:rsidRDefault="00897907" w:rsidP="00897907">
      <w:pPr>
        <w:spacing w:before="120" w:after="0" w:line="264" w:lineRule="auto"/>
        <w:jc w:val="both"/>
        <w:rPr>
          <w:b/>
          <w:i/>
          <w:color w:val="323E4F"/>
          <w:u w:val="single"/>
        </w:rPr>
      </w:pPr>
      <w:r>
        <w:rPr>
          <w:color w:val="323E4F"/>
        </w:rPr>
        <w:t xml:space="preserve">Three types </w:t>
      </w:r>
      <w:r w:rsidRPr="00885166">
        <w:rPr>
          <w:color w:val="323E4F"/>
        </w:rPr>
        <w:t>of presentations</w:t>
      </w:r>
      <w:r>
        <w:rPr>
          <w:color w:val="323E4F"/>
        </w:rPr>
        <w:t xml:space="preserve"> are acceptable: </w:t>
      </w:r>
    </w:p>
    <w:p w14:paraId="5384C84F" w14:textId="5254192C" w:rsidR="00897907" w:rsidRDefault="00897907" w:rsidP="00897907">
      <w:pPr>
        <w:tabs>
          <w:tab w:val="left" w:pos="284"/>
        </w:tabs>
        <w:spacing w:after="0" w:line="264" w:lineRule="auto"/>
        <w:ind w:left="738" w:hanging="454"/>
        <w:jc w:val="both"/>
        <w:rPr>
          <w:color w:val="323E4F"/>
        </w:rPr>
      </w:pPr>
      <w:r>
        <w:rPr>
          <w:color w:val="323E4F"/>
        </w:rPr>
        <w:t>1)</w:t>
      </w:r>
      <w:r>
        <w:rPr>
          <w:color w:val="323E4F"/>
        </w:rPr>
        <w:tab/>
        <w:t xml:space="preserve">15-minute presentations including </w:t>
      </w:r>
      <w:r w:rsidRPr="00885166">
        <w:rPr>
          <w:color w:val="323E4F"/>
          <w:u w:val="single"/>
        </w:rPr>
        <w:t>Research Presentation</w:t>
      </w:r>
      <w:r>
        <w:rPr>
          <w:color w:val="323E4F"/>
        </w:rPr>
        <w:t xml:space="preserve">, </w:t>
      </w:r>
      <w:r w:rsidRPr="00885166">
        <w:rPr>
          <w:color w:val="323E4F"/>
          <w:u w:val="single"/>
        </w:rPr>
        <w:t>Case Studies,</w:t>
      </w:r>
      <w:r>
        <w:rPr>
          <w:color w:val="323E4F"/>
        </w:rPr>
        <w:t xml:space="preserve"> and </w:t>
      </w:r>
      <w:r w:rsidRPr="00885166">
        <w:rPr>
          <w:color w:val="323E4F"/>
          <w:u w:val="single"/>
        </w:rPr>
        <w:t>Viewpoints</w:t>
      </w:r>
      <w:r>
        <w:rPr>
          <w:color w:val="323E4F"/>
        </w:rPr>
        <w:t xml:space="preserve"> to encourage debate and discussion or identify research agendas based on literature, research findings and practical experience, and </w:t>
      </w:r>
    </w:p>
    <w:p w14:paraId="28055684" w14:textId="7358D0F6" w:rsidR="00897907" w:rsidRDefault="00897907" w:rsidP="00897907">
      <w:pPr>
        <w:tabs>
          <w:tab w:val="left" w:pos="284"/>
        </w:tabs>
        <w:spacing w:after="0" w:line="264" w:lineRule="auto"/>
        <w:ind w:left="738" w:hanging="454"/>
        <w:jc w:val="both"/>
        <w:rPr>
          <w:color w:val="323E4F"/>
        </w:rPr>
      </w:pPr>
      <w:r>
        <w:rPr>
          <w:color w:val="323E4F"/>
        </w:rPr>
        <w:t>2)</w:t>
      </w:r>
      <w:r>
        <w:rPr>
          <w:color w:val="323E4F"/>
        </w:rPr>
        <w:tab/>
        <w:t xml:space="preserve">5-minute student presentations on a specific aspect of the presenter’s research at the scheduled student session, 10mins feedback will be provided </w:t>
      </w:r>
    </w:p>
    <w:p w14:paraId="6FD4DB4B" w14:textId="4E78B28F" w:rsidR="00897907" w:rsidRDefault="00897907" w:rsidP="00897907">
      <w:pPr>
        <w:tabs>
          <w:tab w:val="left" w:pos="284"/>
        </w:tabs>
        <w:spacing w:after="0" w:line="264" w:lineRule="auto"/>
        <w:ind w:left="738" w:hanging="454"/>
        <w:jc w:val="both"/>
        <w:rPr>
          <w:color w:val="323E4F"/>
        </w:rPr>
      </w:pPr>
      <w:r>
        <w:rPr>
          <w:color w:val="323E4F"/>
        </w:rPr>
        <w:t>3)     Poster presentatio</w:t>
      </w:r>
      <w:r w:rsidRPr="00622AC6">
        <w:rPr>
          <w:color w:val="323E4F"/>
        </w:rPr>
        <w:t>n</w:t>
      </w:r>
      <w:r w:rsidRPr="00622AC6">
        <w:rPr>
          <w:b/>
          <w:bCs/>
          <w:color w:val="323E4F"/>
        </w:rPr>
        <w:t xml:space="preserve"> (onsite)</w:t>
      </w:r>
      <w:r w:rsidRPr="0047286D">
        <w:rPr>
          <w:b/>
          <w:bCs/>
          <w:color w:val="323E4F"/>
        </w:rPr>
        <w:t xml:space="preserve"> </w:t>
      </w:r>
    </w:p>
    <w:p w14:paraId="2DEE835F" w14:textId="77777777" w:rsidR="00897907" w:rsidRDefault="00897907" w:rsidP="000902D0">
      <w:pPr>
        <w:spacing w:after="0" w:line="264" w:lineRule="auto"/>
        <w:jc w:val="both"/>
        <w:rPr>
          <w:color w:val="323E4F"/>
        </w:rPr>
      </w:pPr>
    </w:p>
    <w:p w14:paraId="3D761A22" w14:textId="38A8B93F" w:rsidR="0036324C" w:rsidRPr="000902D0" w:rsidRDefault="00897907" w:rsidP="000902D0">
      <w:pPr>
        <w:spacing w:after="0" w:line="264" w:lineRule="auto"/>
        <w:jc w:val="both"/>
        <w:rPr>
          <w:b/>
          <w:bCs/>
        </w:rPr>
      </w:pPr>
      <w:r>
        <w:rPr>
          <w:noProof/>
        </w:rPr>
        <w:drawing>
          <wp:anchor distT="0" distB="0" distL="114300" distR="114300" simplePos="0" relativeHeight="251659264" behindDoc="1" locked="0" layoutInCell="1" allowOverlap="1" wp14:anchorId="4B08087C" wp14:editId="0BEC94B3">
            <wp:simplePos x="0" y="0"/>
            <wp:positionH relativeFrom="column">
              <wp:posOffset>5346700</wp:posOffset>
            </wp:positionH>
            <wp:positionV relativeFrom="paragraph">
              <wp:posOffset>20320</wp:posOffset>
            </wp:positionV>
            <wp:extent cx="962025" cy="962025"/>
            <wp:effectExtent l="0" t="0" r="9525" b="9525"/>
            <wp:wrapTight wrapText="bothSides">
              <wp:wrapPolygon edited="0">
                <wp:start x="0" y="0"/>
                <wp:lineTo x="0" y="21386"/>
                <wp:lineTo x="21386" y="21386"/>
                <wp:lineTo x="21386" y="0"/>
                <wp:lineTo x="0" y="0"/>
              </wp:wrapPolygon>
            </wp:wrapTight>
            <wp:docPr id="697250873" name="Picture 697250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1D67">
        <w:rPr>
          <w:color w:val="323E4F"/>
        </w:rPr>
        <w:t xml:space="preserve">All submissions </w:t>
      </w:r>
      <w:r w:rsidR="008C3006">
        <w:rPr>
          <w:color w:val="323E4F"/>
        </w:rPr>
        <w:t xml:space="preserve">must be made online </w:t>
      </w:r>
      <w:r w:rsidR="00B1555F">
        <w:rPr>
          <w:color w:val="323E4F"/>
        </w:rPr>
        <w:t xml:space="preserve">by completed </w:t>
      </w:r>
      <w:r w:rsidR="008C3006" w:rsidRPr="00B36E43">
        <w:rPr>
          <w:b/>
          <w:bCs/>
          <w:color w:val="323E4F"/>
        </w:rPr>
        <w:t xml:space="preserve"> </w:t>
      </w:r>
      <w:hyperlink r:id="rId9" w:history="1">
        <w:r w:rsidR="00B1555F" w:rsidRPr="00B1555F">
          <w:rPr>
            <w:rStyle w:val="Hyperlink"/>
            <w:b/>
            <w:bCs/>
          </w:rPr>
          <w:t>the abstract submission form</w:t>
        </w:r>
      </w:hyperlink>
      <w:r w:rsidR="0036324C">
        <w:rPr>
          <w:b/>
          <w:bCs/>
        </w:rPr>
        <w:t xml:space="preserve"> </w:t>
      </w:r>
      <w:r w:rsidR="0036324C" w:rsidRPr="000902D0">
        <w:t>You can also access the abstract submission form via the QR code</w:t>
      </w:r>
      <w:r w:rsidR="000902D0">
        <w:t>.</w:t>
      </w:r>
    </w:p>
    <w:p w14:paraId="478BEF8D" w14:textId="77777777" w:rsidR="000902D0" w:rsidRDefault="000902D0">
      <w:pPr>
        <w:spacing w:after="0" w:line="264" w:lineRule="auto"/>
        <w:jc w:val="both"/>
        <w:rPr>
          <w:color w:val="323E4F"/>
        </w:rPr>
      </w:pPr>
    </w:p>
    <w:p w14:paraId="3E9A47A9" w14:textId="49AAA0D9" w:rsidR="00885166" w:rsidRDefault="008C3006">
      <w:pPr>
        <w:spacing w:after="0" w:line="264" w:lineRule="auto"/>
        <w:jc w:val="both"/>
        <w:rPr>
          <w:color w:val="323E4F"/>
        </w:rPr>
      </w:pPr>
      <w:r>
        <w:rPr>
          <w:color w:val="323E4F"/>
        </w:rPr>
        <w:t>Information required by the</w:t>
      </w:r>
      <w:r w:rsidR="00BE1D67">
        <w:rPr>
          <w:color w:val="323E4F"/>
        </w:rPr>
        <w:t xml:space="preserve"> Abstract Submission</w:t>
      </w:r>
      <w:r w:rsidR="00897907">
        <w:rPr>
          <w:color w:val="323E4F"/>
        </w:rPr>
        <w:t xml:space="preserve"> and </w:t>
      </w:r>
      <w:r w:rsidR="00B020C2">
        <w:rPr>
          <w:color w:val="323E4F"/>
        </w:rPr>
        <w:t xml:space="preserve">abstract example </w:t>
      </w:r>
      <w:proofErr w:type="gramStart"/>
      <w:r w:rsidR="00B020C2">
        <w:rPr>
          <w:color w:val="323E4F"/>
        </w:rPr>
        <w:t xml:space="preserve">template </w:t>
      </w:r>
      <w:r w:rsidR="00BE1D67">
        <w:rPr>
          <w:color w:val="323E4F"/>
        </w:rPr>
        <w:t xml:space="preserve"> </w:t>
      </w:r>
      <w:r>
        <w:rPr>
          <w:color w:val="323E4F"/>
        </w:rPr>
        <w:t>can</w:t>
      </w:r>
      <w:proofErr w:type="gramEnd"/>
      <w:r>
        <w:rPr>
          <w:color w:val="323E4F"/>
        </w:rPr>
        <w:t xml:space="preserve"> be </w:t>
      </w:r>
      <w:r w:rsidR="00BE1D67">
        <w:rPr>
          <w:color w:val="323E4F"/>
        </w:rPr>
        <w:t>downloaded from the SHAPE website</w:t>
      </w:r>
      <w:r w:rsidR="005E581D">
        <w:rPr>
          <w:color w:val="323E4F"/>
        </w:rPr>
        <w:t xml:space="preserve"> </w:t>
      </w:r>
      <w:hyperlink r:id="rId10" w:history="1">
        <w:r w:rsidR="00F147FD" w:rsidRPr="00B85CDC">
          <w:rPr>
            <w:rStyle w:val="Hyperlink"/>
          </w:rPr>
          <w:t>www.shape.org.au</w:t>
        </w:r>
      </w:hyperlink>
      <w:r w:rsidR="00F147FD">
        <w:t xml:space="preserve"> </w:t>
      </w:r>
      <w:r w:rsidR="005E581D">
        <w:rPr>
          <w:color w:val="323E4F"/>
        </w:rPr>
        <w:t xml:space="preserve"> </w:t>
      </w:r>
      <w:r w:rsidR="00BE1D67" w:rsidRPr="00885166">
        <w:rPr>
          <w:color w:val="323E4F"/>
        </w:rPr>
        <w:t xml:space="preserve"> </w:t>
      </w:r>
    </w:p>
    <w:p w14:paraId="2F82B001" w14:textId="77777777" w:rsidR="00FC5560" w:rsidRDefault="00BE1D67">
      <w:pPr>
        <w:spacing w:before="240" w:after="0" w:line="264" w:lineRule="auto"/>
        <w:jc w:val="both"/>
        <w:rPr>
          <w:b/>
          <w:i/>
          <w:color w:val="323E4F"/>
          <w:u w:val="single"/>
        </w:rPr>
      </w:pPr>
      <w:r>
        <w:rPr>
          <w:b/>
          <w:i/>
          <w:color w:val="323E4F"/>
          <w:u w:val="single"/>
        </w:rPr>
        <w:t>Abstract review and acceptance</w:t>
      </w:r>
    </w:p>
    <w:p w14:paraId="43A6EF87" w14:textId="673CDBD2" w:rsidR="00FC5560" w:rsidRPr="00BE1D67" w:rsidRDefault="00BE1D67">
      <w:pPr>
        <w:spacing w:after="0" w:line="264" w:lineRule="auto"/>
        <w:jc w:val="both"/>
        <w:rPr>
          <w:b/>
          <w:bCs/>
          <w:color w:val="323E4F"/>
        </w:rPr>
      </w:pPr>
      <w:r>
        <w:rPr>
          <w:color w:val="323E4F"/>
        </w:rPr>
        <w:t xml:space="preserve">Abstracts will be assessed by the Symposium Review Committee consisting of SHAPE Executive Committee Members. The assessment focuses on relevance and clarity of abstract, novelty of the ideas/key messages to be included in the presentation, and how </w:t>
      </w:r>
      <w:r w:rsidRPr="00BE1D67">
        <w:rPr>
          <w:color w:val="323E4F"/>
        </w:rPr>
        <w:t>likely the presentation will encourage / facilitate meaningful debate on the proposed topic</w:t>
      </w:r>
      <w:r>
        <w:rPr>
          <w:color w:val="323E4F"/>
        </w:rPr>
        <w:t>.</w:t>
      </w:r>
      <w:r w:rsidRPr="00BE1D67">
        <w:rPr>
          <w:color w:val="323E4F"/>
        </w:rPr>
        <w:t xml:space="preserve"> </w:t>
      </w:r>
      <w:r w:rsidRPr="00BE1D67">
        <w:rPr>
          <w:b/>
          <w:bCs/>
          <w:color w:val="323E4F"/>
        </w:rPr>
        <w:t>Results will be notified by</w:t>
      </w:r>
      <w:r w:rsidR="00B932B4">
        <w:rPr>
          <w:b/>
          <w:bCs/>
          <w:color w:val="323E4F"/>
        </w:rPr>
        <w:t xml:space="preserve"> </w:t>
      </w:r>
      <w:r w:rsidR="00181C9A">
        <w:rPr>
          <w:b/>
          <w:bCs/>
          <w:color w:val="323E4F"/>
        </w:rPr>
        <w:t xml:space="preserve">3 </w:t>
      </w:r>
      <w:r w:rsidRPr="00BE1D67">
        <w:rPr>
          <w:b/>
          <w:bCs/>
          <w:color w:val="323E4F"/>
        </w:rPr>
        <w:t>March 202</w:t>
      </w:r>
      <w:r w:rsidR="00B932B4">
        <w:rPr>
          <w:b/>
          <w:bCs/>
          <w:color w:val="323E4F"/>
        </w:rPr>
        <w:t>6</w:t>
      </w:r>
      <w:r w:rsidRPr="00BE1D67">
        <w:rPr>
          <w:b/>
          <w:bCs/>
          <w:color w:val="323E4F"/>
        </w:rPr>
        <w:t xml:space="preserve">. </w:t>
      </w:r>
    </w:p>
    <w:p w14:paraId="763FEDB9" w14:textId="77777777" w:rsidR="00FC5560" w:rsidRDefault="00BE1D67">
      <w:pPr>
        <w:spacing w:before="240" w:after="0" w:line="264" w:lineRule="auto"/>
        <w:jc w:val="both"/>
        <w:rPr>
          <w:b/>
          <w:i/>
          <w:color w:val="323E4F"/>
          <w:u w:val="single"/>
        </w:rPr>
      </w:pPr>
      <w:r w:rsidRPr="00BE1D67">
        <w:rPr>
          <w:b/>
          <w:i/>
          <w:color w:val="323E4F"/>
          <w:u w:val="single"/>
        </w:rPr>
        <w:t>Student abstract submission</w:t>
      </w:r>
    </w:p>
    <w:p w14:paraId="0D8FD0B0" w14:textId="77777777" w:rsidR="00FC5560" w:rsidRDefault="00BE1D67">
      <w:pPr>
        <w:spacing w:before="120" w:after="0" w:line="264" w:lineRule="auto"/>
        <w:jc w:val="both"/>
        <w:rPr>
          <w:color w:val="323E4F"/>
        </w:rPr>
      </w:pPr>
      <w:r>
        <w:rPr>
          <w:color w:val="323E4F"/>
        </w:rPr>
        <w:t xml:space="preserve">SHAPE also invites Higher Degree Research students and other postgraduate students completing a research component or a project as part of their studies to present an aspect of their work. A specific session will be devoted to this with each student given 5 minutes to present, then work in breakout groups according to themes and receive feedback. </w:t>
      </w:r>
    </w:p>
    <w:p w14:paraId="6145BACA" w14:textId="77777777" w:rsidR="00FC5560" w:rsidRDefault="00BE1D67">
      <w:pPr>
        <w:spacing w:before="120" w:after="0" w:line="264" w:lineRule="auto"/>
        <w:jc w:val="both"/>
      </w:pPr>
      <w:r>
        <w:rPr>
          <w:color w:val="323E4F"/>
        </w:rPr>
        <w:t xml:space="preserve">This provides an opportunity for students to share their work and receive constructive feedback and advice from experienced researchers, and to foster networking around research projects. An award will be made to the best student presentation during the Symposium. </w:t>
      </w:r>
    </w:p>
    <w:p w14:paraId="4B1BC2D4" w14:textId="77777777" w:rsidR="00FC5560" w:rsidRDefault="00BE1D67">
      <w:pPr>
        <w:spacing w:before="240" w:after="0" w:line="264" w:lineRule="auto"/>
        <w:jc w:val="both"/>
        <w:rPr>
          <w:b/>
          <w:i/>
          <w:color w:val="323E4F"/>
          <w:u w:val="single"/>
        </w:rPr>
      </w:pPr>
      <w:r>
        <w:rPr>
          <w:b/>
          <w:i/>
          <w:color w:val="323E4F"/>
          <w:u w:val="single"/>
        </w:rPr>
        <w:t>Dr Mary Harris Student Bursary</w:t>
      </w:r>
    </w:p>
    <w:p w14:paraId="030E2AFE" w14:textId="18E6FD07" w:rsidR="00FC5560" w:rsidRDefault="00BE1D67">
      <w:pPr>
        <w:spacing w:after="0" w:line="264" w:lineRule="auto"/>
        <w:jc w:val="both"/>
        <w:rPr>
          <w:color w:val="323E4F"/>
        </w:rPr>
      </w:pPr>
      <w:r>
        <w:rPr>
          <w:color w:val="323E4F"/>
        </w:rPr>
        <w:t xml:space="preserve">SHAPE is offering a Student Bursary covering airfare, accommodation, and Symposium registration, up to a </w:t>
      </w:r>
      <w:r w:rsidRPr="00BE1D67">
        <w:rPr>
          <w:color w:val="323E4F"/>
        </w:rPr>
        <w:t>value of $1,500, for the</w:t>
      </w:r>
      <w:r>
        <w:rPr>
          <w:color w:val="323E4F"/>
        </w:rPr>
        <w:t xml:space="preserve"> best abstract received from </w:t>
      </w:r>
      <w:r w:rsidR="00181C9A">
        <w:rPr>
          <w:color w:val="323E4F"/>
        </w:rPr>
        <w:t>an</w:t>
      </w:r>
      <w:r>
        <w:rPr>
          <w:color w:val="323E4F"/>
        </w:rPr>
        <w:t xml:space="preserve"> undergraduate, postgraduate or Higher Degree Research student who is currently completing their degree program with one of the SHAPE Program Members. </w:t>
      </w:r>
    </w:p>
    <w:p w14:paraId="5193FBEF" w14:textId="77777777" w:rsidR="00FC5560" w:rsidRDefault="00FC5560">
      <w:pPr>
        <w:spacing w:after="0" w:line="264" w:lineRule="auto"/>
        <w:jc w:val="both"/>
        <w:rPr>
          <w:color w:val="323E4F"/>
        </w:rPr>
      </w:pPr>
    </w:p>
    <w:p w14:paraId="3534D95E" w14:textId="77777777" w:rsidR="00FC5560" w:rsidRDefault="00BE1D67">
      <w:pPr>
        <w:spacing w:after="0" w:line="264" w:lineRule="auto"/>
        <w:jc w:val="both"/>
        <w:rPr>
          <w:color w:val="323E4F"/>
        </w:rPr>
      </w:pPr>
      <w:r>
        <w:rPr>
          <w:color w:val="323E4F"/>
        </w:rPr>
        <w:t xml:space="preserve">To be eligible, </w:t>
      </w:r>
    </w:p>
    <w:p w14:paraId="4783B7F3" w14:textId="4C973794" w:rsidR="00FC5560" w:rsidRDefault="00BE1D67">
      <w:pPr>
        <w:numPr>
          <w:ilvl w:val="0"/>
          <w:numId w:val="1"/>
        </w:numPr>
        <w:pBdr>
          <w:top w:val="nil"/>
          <w:left w:val="nil"/>
          <w:bottom w:val="nil"/>
          <w:right w:val="nil"/>
          <w:between w:val="nil"/>
        </w:pBdr>
        <w:spacing w:after="0" w:line="264" w:lineRule="auto"/>
        <w:ind w:left="641" w:hanging="357"/>
        <w:jc w:val="both"/>
        <w:rPr>
          <w:color w:val="323E4F"/>
        </w:rPr>
      </w:pPr>
      <w:r>
        <w:rPr>
          <w:color w:val="323E4F"/>
        </w:rPr>
        <w:t>You must be a</w:t>
      </w:r>
      <w:r w:rsidR="003D4DA4">
        <w:rPr>
          <w:color w:val="323E4F"/>
        </w:rPr>
        <w:t xml:space="preserve">n undergraduate or </w:t>
      </w:r>
      <w:r>
        <w:rPr>
          <w:color w:val="323E4F"/>
        </w:rPr>
        <w:t>postgraduate student studying in a health management research or coursework degree in the Asia Pacific, or a PhD student completing research in a health service management related field.</w:t>
      </w:r>
    </w:p>
    <w:p w14:paraId="2334C616" w14:textId="77777777" w:rsidR="00FC5560" w:rsidRDefault="00BE1D67">
      <w:pPr>
        <w:numPr>
          <w:ilvl w:val="0"/>
          <w:numId w:val="1"/>
        </w:numPr>
        <w:pBdr>
          <w:top w:val="nil"/>
          <w:left w:val="nil"/>
          <w:bottom w:val="nil"/>
          <w:right w:val="nil"/>
          <w:between w:val="nil"/>
        </w:pBdr>
        <w:spacing w:after="0" w:line="264" w:lineRule="auto"/>
        <w:ind w:left="641" w:hanging="357"/>
        <w:jc w:val="both"/>
        <w:rPr>
          <w:color w:val="323E4F"/>
        </w:rPr>
      </w:pPr>
      <w:r>
        <w:rPr>
          <w:color w:val="323E4F"/>
        </w:rPr>
        <w:lastRenderedPageBreak/>
        <w:t>The program in which you are enrolled must be a financial member of SHAPE.</w:t>
      </w:r>
    </w:p>
    <w:p w14:paraId="3AA0078B" w14:textId="1073BEC4" w:rsidR="00FC5560" w:rsidRPr="00BE1D67" w:rsidRDefault="00BE1D67">
      <w:pPr>
        <w:numPr>
          <w:ilvl w:val="0"/>
          <w:numId w:val="1"/>
        </w:numPr>
        <w:pBdr>
          <w:top w:val="nil"/>
          <w:left w:val="nil"/>
          <w:bottom w:val="nil"/>
          <w:right w:val="nil"/>
          <w:between w:val="nil"/>
        </w:pBdr>
        <w:spacing w:after="0" w:line="264" w:lineRule="auto"/>
        <w:ind w:left="641" w:hanging="357"/>
        <w:jc w:val="both"/>
        <w:rPr>
          <w:color w:val="323E4F"/>
        </w:rPr>
      </w:pPr>
      <w:r w:rsidRPr="00BE1D67">
        <w:rPr>
          <w:color w:val="323E4F"/>
        </w:rPr>
        <w:t xml:space="preserve">You are not currently employed as a </w:t>
      </w:r>
      <w:r>
        <w:rPr>
          <w:color w:val="323E4F"/>
        </w:rPr>
        <w:t xml:space="preserve">full-time </w:t>
      </w:r>
      <w:r w:rsidRPr="00BE1D67">
        <w:rPr>
          <w:color w:val="323E4F"/>
        </w:rPr>
        <w:t xml:space="preserve">researcher or academic in any of the research institutions or Universities. </w:t>
      </w:r>
    </w:p>
    <w:p w14:paraId="284E3943" w14:textId="77777777" w:rsidR="00FC5560" w:rsidRDefault="00FC5560">
      <w:pPr>
        <w:spacing w:after="0" w:line="264" w:lineRule="auto"/>
        <w:jc w:val="both"/>
        <w:rPr>
          <w:color w:val="323E4F"/>
          <w:highlight w:val="yellow"/>
        </w:rPr>
      </w:pPr>
    </w:p>
    <w:p w14:paraId="5BF78A0B" w14:textId="00762A41" w:rsidR="00FC5560" w:rsidRDefault="00BE1D67">
      <w:pPr>
        <w:spacing w:after="0" w:line="264" w:lineRule="auto"/>
        <w:jc w:val="both"/>
        <w:rPr>
          <w:color w:val="323E4F"/>
        </w:rPr>
      </w:pPr>
      <w:r>
        <w:rPr>
          <w:color w:val="323E4F"/>
        </w:rPr>
        <w:t>The winner of the bursary will be notified by 2</w:t>
      </w:r>
      <w:r w:rsidR="00094AA4">
        <w:rPr>
          <w:color w:val="323E4F"/>
        </w:rPr>
        <w:t>7</w:t>
      </w:r>
      <w:r>
        <w:rPr>
          <w:color w:val="323E4F"/>
        </w:rPr>
        <w:t xml:space="preserve"> March 202</w:t>
      </w:r>
      <w:r w:rsidR="00094AA4">
        <w:rPr>
          <w:color w:val="323E4F"/>
        </w:rPr>
        <w:t>6</w:t>
      </w:r>
      <w:r>
        <w:rPr>
          <w:color w:val="323E4F"/>
        </w:rPr>
        <w:t xml:space="preserve">. For further information, please access the SHAPE website: </w:t>
      </w:r>
      <w:hyperlink r:id="rId11">
        <w:r>
          <w:rPr>
            <w:color w:val="385623"/>
            <w:u w:val="single"/>
          </w:rPr>
          <w:t>www.shape.org.au</w:t>
        </w:r>
      </w:hyperlink>
      <w:r>
        <w:rPr>
          <w:color w:val="323E4F"/>
        </w:rPr>
        <w:t xml:space="preserve"> </w:t>
      </w:r>
    </w:p>
    <w:p w14:paraId="551ADD3B" w14:textId="77777777" w:rsidR="00885166" w:rsidRDefault="00885166">
      <w:pPr>
        <w:spacing w:after="0" w:line="264" w:lineRule="auto"/>
        <w:jc w:val="both"/>
        <w:rPr>
          <w:color w:val="323E4F"/>
          <w:highlight w:val="yellow"/>
        </w:rPr>
      </w:pPr>
    </w:p>
    <w:p w14:paraId="13BAD611" w14:textId="77777777" w:rsidR="00FC5560" w:rsidRDefault="00BE1D67">
      <w:pPr>
        <w:spacing w:after="0" w:line="264" w:lineRule="auto"/>
        <w:jc w:val="both"/>
        <w:rPr>
          <w:color w:val="323E4F"/>
        </w:rPr>
      </w:pPr>
      <w:r>
        <w:rPr>
          <w:b/>
          <w:color w:val="351C75"/>
          <w:sz w:val="30"/>
          <w:szCs w:val="30"/>
        </w:rPr>
        <w:t>Enquiries:</w:t>
      </w:r>
      <w:r>
        <w:rPr>
          <w:color w:val="323E4F"/>
        </w:rPr>
        <w:t xml:space="preserve"> </w:t>
      </w:r>
    </w:p>
    <w:p w14:paraId="01B31688" w14:textId="77777777" w:rsidR="00FC5560" w:rsidRDefault="00BE1D67">
      <w:pPr>
        <w:spacing w:after="0" w:line="264" w:lineRule="auto"/>
        <w:jc w:val="both"/>
        <w:rPr>
          <w:color w:val="000000"/>
          <w:u w:val="single"/>
        </w:rPr>
      </w:pPr>
      <w:r>
        <w:rPr>
          <w:color w:val="000000"/>
          <w:u w:val="single"/>
        </w:rPr>
        <w:t xml:space="preserve">Dr Mary Harris Student Bursary and Symposium sponsorship: </w:t>
      </w:r>
    </w:p>
    <w:p w14:paraId="4E741667" w14:textId="427A2C60" w:rsidR="00FC5560" w:rsidRDefault="00BE1D67">
      <w:pPr>
        <w:spacing w:after="0" w:line="264" w:lineRule="auto"/>
        <w:jc w:val="both"/>
        <w:rPr>
          <w:color w:val="000000"/>
        </w:rPr>
      </w:pPr>
      <w:r>
        <w:rPr>
          <w:color w:val="000000"/>
        </w:rPr>
        <w:t xml:space="preserve">Professor Zhanming Liang, President of SHAPE </w:t>
      </w:r>
    </w:p>
    <w:p w14:paraId="568C53B2" w14:textId="77777777" w:rsidR="00FC5560" w:rsidRPr="006B0C80" w:rsidRDefault="00BE1D67">
      <w:pPr>
        <w:spacing w:after="0" w:line="264" w:lineRule="auto"/>
        <w:jc w:val="both"/>
        <w:rPr>
          <w:color w:val="000000"/>
          <w:lang w:val="fr-FR"/>
        </w:rPr>
      </w:pPr>
      <w:proofErr w:type="gramStart"/>
      <w:r w:rsidRPr="006B0C80">
        <w:rPr>
          <w:color w:val="000000"/>
          <w:lang w:val="fr-FR"/>
        </w:rPr>
        <w:t>Email:</w:t>
      </w:r>
      <w:proofErr w:type="gramEnd"/>
      <w:r w:rsidRPr="006B0C80">
        <w:rPr>
          <w:color w:val="000000"/>
          <w:lang w:val="fr-FR"/>
        </w:rPr>
        <w:t xml:space="preserve"> </w:t>
      </w:r>
      <w:hyperlink r:id="rId12">
        <w:r w:rsidRPr="006B0C80">
          <w:rPr>
            <w:color w:val="000000"/>
            <w:lang w:val="fr-FR"/>
          </w:rPr>
          <w:t>Zhanming.Liang@jcu.edu.au</w:t>
        </w:r>
      </w:hyperlink>
      <w:r w:rsidRPr="006B0C80">
        <w:rPr>
          <w:color w:val="000000"/>
          <w:lang w:val="fr-FR"/>
        </w:rPr>
        <w:t xml:space="preserve"> </w:t>
      </w:r>
    </w:p>
    <w:p w14:paraId="6073C22E" w14:textId="77777777" w:rsidR="00FC5560" w:rsidRPr="006B0C80" w:rsidRDefault="00FC5560">
      <w:pPr>
        <w:spacing w:after="0" w:line="264" w:lineRule="auto"/>
        <w:jc w:val="both"/>
        <w:rPr>
          <w:color w:val="000000"/>
          <w:lang w:val="fr-FR"/>
        </w:rPr>
      </w:pPr>
    </w:p>
    <w:p w14:paraId="53ED5BD7" w14:textId="77777777" w:rsidR="00FC5560" w:rsidRDefault="00BE1D67">
      <w:pPr>
        <w:spacing w:after="0" w:line="264" w:lineRule="auto"/>
        <w:jc w:val="both"/>
        <w:rPr>
          <w:color w:val="000000"/>
        </w:rPr>
      </w:pPr>
      <w:r>
        <w:rPr>
          <w:color w:val="000000"/>
          <w:u w:val="single"/>
        </w:rPr>
        <w:t>SHAPE Symposium General Matters:</w:t>
      </w:r>
      <w:r>
        <w:rPr>
          <w:color w:val="000000"/>
        </w:rPr>
        <w:t xml:space="preserve"> </w:t>
      </w:r>
      <w:hyperlink r:id="rId13">
        <w:r>
          <w:rPr>
            <w:color w:val="000000"/>
          </w:rPr>
          <w:t>shape.symposium@gmail.com</w:t>
        </w:r>
      </w:hyperlink>
      <w:r>
        <w:rPr>
          <w:color w:val="000000"/>
        </w:rPr>
        <w:t xml:space="preserve"> </w:t>
      </w:r>
    </w:p>
    <w:sectPr w:rsidR="00FC5560">
      <w:pgSz w:w="11900" w:h="16840"/>
      <w:pgMar w:top="737" w:right="1134" w:bottom="737"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945F7" w14:textId="77777777" w:rsidR="004C259E" w:rsidRDefault="004C259E" w:rsidP="0076302C">
      <w:pPr>
        <w:spacing w:after="0" w:line="240" w:lineRule="auto"/>
      </w:pPr>
      <w:r>
        <w:separator/>
      </w:r>
    </w:p>
  </w:endnote>
  <w:endnote w:type="continuationSeparator" w:id="0">
    <w:p w14:paraId="3D197028" w14:textId="77777777" w:rsidR="004C259E" w:rsidRDefault="004C259E" w:rsidP="00763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useo Sans">
    <w:altName w:val="Calibri"/>
    <w:panose1 w:val="00000000000000000000"/>
    <w:charset w:val="4D"/>
    <w:family w:val="auto"/>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F10FC" w14:textId="77777777" w:rsidR="004C259E" w:rsidRDefault="004C259E" w:rsidP="0076302C">
      <w:pPr>
        <w:spacing w:after="0" w:line="240" w:lineRule="auto"/>
      </w:pPr>
      <w:r>
        <w:separator/>
      </w:r>
    </w:p>
  </w:footnote>
  <w:footnote w:type="continuationSeparator" w:id="0">
    <w:p w14:paraId="4FCDCC97" w14:textId="77777777" w:rsidR="004C259E" w:rsidRDefault="004C259E" w:rsidP="007630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420C3"/>
    <w:multiLevelType w:val="multilevel"/>
    <w:tmpl w:val="3B8259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F672F9A"/>
    <w:multiLevelType w:val="multilevel"/>
    <w:tmpl w:val="A70E6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8147096">
    <w:abstractNumId w:val="0"/>
  </w:num>
  <w:num w:numId="2" w16cid:durableId="1366979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560"/>
    <w:rsid w:val="000740E5"/>
    <w:rsid w:val="000902D0"/>
    <w:rsid w:val="00094AA4"/>
    <w:rsid w:val="000A04D1"/>
    <w:rsid w:val="000A1A99"/>
    <w:rsid w:val="000E64A9"/>
    <w:rsid w:val="00135663"/>
    <w:rsid w:val="00181C9A"/>
    <w:rsid w:val="00200C2A"/>
    <w:rsid w:val="00207743"/>
    <w:rsid w:val="002464A8"/>
    <w:rsid w:val="00246E16"/>
    <w:rsid w:val="002A2BEB"/>
    <w:rsid w:val="002A6E34"/>
    <w:rsid w:val="002C4832"/>
    <w:rsid w:val="00357C16"/>
    <w:rsid w:val="0036324C"/>
    <w:rsid w:val="00364DFD"/>
    <w:rsid w:val="00376492"/>
    <w:rsid w:val="003D4DA4"/>
    <w:rsid w:val="0047286D"/>
    <w:rsid w:val="004C259E"/>
    <w:rsid w:val="00545068"/>
    <w:rsid w:val="005E581D"/>
    <w:rsid w:val="00622AC6"/>
    <w:rsid w:val="00696025"/>
    <w:rsid w:val="006B0C80"/>
    <w:rsid w:val="00730E7F"/>
    <w:rsid w:val="0076302C"/>
    <w:rsid w:val="007917E6"/>
    <w:rsid w:val="0080410A"/>
    <w:rsid w:val="008234FF"/>
    <w:rsid w:val="00885103"/>
    <w:rsid w:val="00885166"/>
    <w:rsid w:val="008951BF"/>
    <w:rsid w:val="00897907"/>
    <w:rsid w:val="008C3006"/>
    <w:rsid w:val="008E0B9F"/>
    <w:rsid w:val="00960467"/>
    <w:rsid w:val="00984E58"/>
    <w:rsid w:val="00A16F5A"/>
    <w:rsid w:val="00A543C9"/>
    <w:rsid w:val="00A8737B"/>
    <w:rsid w:val="00AD6918"/>
    <w:rsid w:val="00B020C2"/>
    <w:rsid w:val="00B1555F"/>
    <w:rsid w:val="00B36E43"/>
    <w:rsid w:val="00B7718F"/>
    <w:rsid w:val="00B81C71"/>
    <w:rsid w:val="00B932B4"/>
    <w:rsid w:val="00BE1D67"/>
    <w:rsid w:val="00BF5034"/>
    <w:rsid w:val="00C07311"/>
    <w:rsid w:val="00CA1E61"/>
    <w:rsid w:val="00D14658"/>
    <w:rsid w:val="00E2574B"/>
    <w:rsid w:val="00E51955"/>
    <w:rsid w:val="00EC7A8D"/>
    <w:rsid w:val="00F147FD"/>
    <w:rsid w:val="00F30310"/>
    <w:rsid w:val="00FC5560"/>
  </w:rsids>
  <m:mathPr>
    <m:mathFont m:val="Cambria Math"/>
    <m:brkBin m:val="before"/>
    <m:brkBinSub m:val="--"/>
    <m:smallFrac m:val="0"/>
    <m:dispDef/>
    <m:lMargin m:val="0"/>
    <m:rMargin m:val="0"/>
    <m:defJc m:val="centerGroup"/>
    <m:wrapIndent m:val="1440"/>
    <m:intLim m:val="subSup"/>
    <m:naryLim m:val="undOvr"/>
  </m:mathPr>
  <w:themeFontLang w:val="en-AU"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D8F3B"/>
  <w15:docId w15:val="{C11D079B-12B2-4B64-96F7-E4102CE06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44546A"/>
        <w:sz w:val="24"/>
        <w:szCs w:val="24"/>
        <w:lang w:val="en-US" w:eastAsia="zh-CN"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5E581D"/>
    <w:rPr>
      <w:color w:val="0000FF" w:themeColor="hyperlink"/>
      <w:u w:val="single"/>
    </w:rPr>
  </w:style>
  <w:style w:type="character" w:styleId="UnresolvedMention">
    <w:name w:val="Unresolved Mention"/>
    <w:basedOn w:val="DefaultParagraphFont"/>
    <w:uiPriority w:val="99"/>
    <w:semiHidden/>
    <w:unhideWhenUsed/>
    <w:rsid w:val="005E581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951BF"/>
    <w:rPr>
      <w:b/>
      <w:bCs/>
    </w:rPr>
  </w:style>
  <w:style w:type="character" w:customStyle="1" w:styleId="CommentSubjectChar">
    <w:name w:val="Comment Subject Char"/>
    <w:basedOn w:val="CommentTextChar"/>
    <w:link w:val="CommentSubject"/>
    <w:uiPriority w:val="99"/>
    <w:semiHidden/>
    <w:rsid w:val="008951BF"/>
    <w:rPr>
      <w:b/>
      <w:bCs/>
      <w:sz w:val="20"/>
      <w:szCs w:val="20"/>
    </w:rPr>
  </w:style>
  <w:style w:type="paragraph" w:styleId="Revision">
    <w:name w:val="Revision"/>
    <w:hidden/>
    <w:uiPriority w:val="99"/>
    <w:semiHidden/>
    <w:rsid w:val="00B81C71"/>
    <w:pPr>
      <w:spacing w:after="0" w:line="240" w:lineRule="auto"/>
    </w:pPr>
  </w:style>
  <w:style w:type="paragraph" w:styleId="NormalWeb">
    <w:name w:val="Normal (Web)"/>
    <w:basedOn w:val="Normal"/>
    <w:uiPriority w:val="99"/>
    <w:unhideWhenUsed/>
    <w:rsid w:val="00E2574B"/>
    <w:pPr>
      <w:spacing w:before="100" w:beforeAutospacing="1" w:after="100" w:afterAutospacing="1" w:line="240" w:lineRule="auto"/>
    </w:pPr>
    <w:rPr>
      <w:rFonts w:ascii="Times New Roman" w:eastAsia="Times New Roman" w:hAnsi="Times New Roman" w:cs="Times New Roman"/>
      <w:color w:val="auto"/>
      <w:lang w:val="en-AU"/>
    </w:rPr>
  </w:style>
  <w:style w:type="paragraph" w:styleId="Header">
    <w:name w:val="header"/>
    <w:basedOn w:val="Normal"/>
    <w:link w:val="HeaderChar"/>
    <w:uiPriority w:val="99"/>
    <w:unhideWhenUsed/>
    <w:rsid w:val="007630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302C"/>
  </w:style>
  <w:style w:type="paragraph" w:styleId="Footer">
    <w:name w:val="footer"/>
    <w:basedOn w:val="Normal"/>
    <w:link w:val="FooterChar"/>
    <w:uiPriority w:val="99"/>
    <w:unhideWhenUsed/>
    <w:rsid w:val="007630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3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719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shape.symposium@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Zhanming.Liang@jcu.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hape.org.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hape.org.au" TargetMode="External"/><Relationship Id="rId4" Type="http://schemas.openxmlformats.org/officeDocument/2006/relationships/webSettings" Target="webSettings.xml"/><Relationship Id="rId9" Type="http://schemas.openxmlformats.org/officeDocument/2006/relationships/hyperlink" Target="https://jcu.syd1.qualtrics.com/jfe/form/SV_cAplFWgN6MYExC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0507654c-1543-47e1-81c5-300c2627be14}"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325</TotalTime>
  <Pages>3</Pages>
  <Words>924</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Zhanming Liang</dc:creator>
  <cp:lastModifiedBy>Zhanming Liang</cp:lastModifiedBy>
  <cp:revision>12</cp:revision>
  <cp:lastPrinted>2025-12-16T07:57:00Z</cp:lastPrinted>
  <dcterms:created xsi:type="dcterms:W3CDTF">2025-12-15T23:00:00Z</dcterms:created>
  <dcterms:modified xsi:type="dcterms:W3CDTF">2025-12-16T08:03:00Z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0x010100A6FE00F3BCB785478F45373B47A9AF2C</vt:lpwstr>
  </property>
</Properties>
</file>